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77" w:rsidRDefault="00384877" w:rsidP="00384877">
      <w:pPr>
        <w:adjustRightInd w:val="0"/>
        <w:spacing w:after="320"/>
        <w:ind w:right="-270"/>
        <w:rPr>
          <w:b/>
          <w:szCs w:val="28"/>
        </w:rPr>
      </w:pPr>
      <w:r>
        <w:rPr>
          <w:szCs w:val="28"/>
        </w:rPr>
        <w:t>Please use</w:t>
      </w:r>
      <w:r w:rsidRPr="00CD2628">
        <w:rPr>
          <w:szCs w:val="28"/>
        </w:rPr>
        <w:t xml:space="preserve"> the format shown in the</w:t>
      </w:r>
      <w:r>
        <w:rPr>
          <w:szCs w:val="28"/>
        </w:rPr>
        <w:t xml:space="preserve"> example provided</w:t>
      </w:r>
      <w:r w:rsidRPr="00CD2628">
        <w:rPr>
          <w:szCs w:val="28"/>
        </w:rPr>
        <w:t>. Please do not exceed character limit. Ti</w:t>
      </w:r>
      <w:r w:rsidR="006218A1">
        <w:rPr>
          <w:szCs w:val="28"/>
        </w:rPr>
        <w:t>tle is limited to 200 words</w:t>
      </w:r>
      <w:r w:rsidRPr="00CD2628">
        <w:rPr>
          <w:szCs w:val="28"/>
        </w:rPr>
        <w:t xml:space="preserve"> and</w:t>
      </w:r>
      <w:r>
        <w:rPr>
          <w:szCs w:val="28"/>
        </w:rPr>
        <w:t xml:space="preserve"> the abstr</w:t>
      </w:r>
      <w:r w:rsidR="006218A1">
        <w:rPr>
          <w:szCs w:val="28"/>
        </w:rPr>
        <w:t>act is limited to 500 words</w:t>
      </w:r>
      <w:bookmarkStart w:id="0" w:name="_GoBack"/>
      <w:bookmarkEnd w:id="0"/>
      <w:r w:rsidRPr="00CD2628">
        <w:rPr>
          <w:szCs w:val="28"/>
        </w:rPr>
        <w:t xml:space="preserve">. </w:t>
      </w:r>
      <w:r w:rsidRPr="00CD2628">
        <w:rPr>
          <w:b/>
          <w:szCs w:val="28"/>
        </w:rPr>
        <w:t>Replace the example provided</w:t>
      </w:r>
      <w:r>
        <w:rPr>
          <w:b/>
          <w:szCs w:val="28"/>
        </w:rPr>
        <w:t xml:space="preserve"> below:</w:t>
      </w:r>
    </w:p>
    <w:p w:rsidR="00384877" w:rsidRDefault="00384877" w:rsidP="00384877">
      <w:pPr>
        <w:pStyle w:val="Heading1"/>
        <w:spacing w:before="74" w:line="246" w:lineRule="exact"/>
      </w:pPr>
    </w:p>
    <w:p w:rsidR="00384877" w:rsidRDefault="00384877" w:rsidP="00384877">
      <w:pPr>
        <w:pStyle w:val="Heading1"/>
        <w:spacing w:before="74" w:line="246" w:lineRule="exact"/>
        <w:rPr>
          <w:i/>
        </w:rPr>
      </w:pPr>
      <w:r>
        <w:t xml:space="preserve">DIVERGENT ROADS: DISTINCT EVOLUTIONARY TRENDS ACROSS </w:t>
      </w:r>
      <w:r>
        <w:rPr>
          <w:i/>
        </w:rPr>
        <w:t>CROTALUS</w:t>
      </w:r>
    </w:p>
    <w:p w:rsidR="00384877" w:rsidRDefault="00384877" w:rsidP="00384877">
      <w:pPr>
        <w:spacing w:line="240" w:lineRule="exact"/>
        <w:ind w:left="100"/>
        <w:rPr>
          <w:b/>
        </w:rPr>
      </w:pPr>
      <w:r>
        <w:rPr>
          <w:b/>
        </w:rPr>
        <w:t>RECOGNIZED THROUGH MULTI-OMIC APPROACHES</w:t>
      </w:r>
      <w:r>
        <w:rPr>
          <w:b/>
        </w:rPr>
        <w:br/>
      </w:r>
    </w:p>
    <w:p w:rsidR="00384877" w:rsidRDefault="00384877" w:rsidP="00384877">
      <w:pPr>
        <w:pStyle w:val="BodyText"/>
        <w:spacing w:line="240" w:lineRule="exact"/>
        <w:rPr>
          <w:sz w:val="14"/>
        </w:rPr>
      </w:pPr>
      <w:r>
        <w:t>Durban, J.</w:t>
      </w:r>
      <w:r>
        <w:rPr>
          <w:position w:val="5"/>
          <w:sz w:val="14"/>
        </w:rPr>
        <w:t>1</w:t>
      </w:r>
      <w:r>
        <w:t xml:space="preserve">, </w:t>
      </w:r>
      <w:proofErr w:type="spellStart"/>
      <w:r>
        <w:t>Sanz</w:t>
      </w:r>
      <w:proofErr w:type="spellEnd"/>
      <w:r>
        <w:t>, L.</w:t>
      </w:r>
      <w:r>
        <w:rPr>
          <w:position w:val="5"/>
          <w:sz w:val="14"/>
        </w:rPr>
        <w:t>1</w:t>
      </w:r>
      <w:r>
        <w:t xml:space="preserve">, </w:t>
      </w:r>
      <w:proofErr w:type="spellStart"/>
      <w:r>
        <w:t>Trevisán</w:t>
      </w:r>
      <w:proofErr w:type="spellEnd"/>
      <w:r>
        <w:t>-Silva, D.</w:t>
      </w:r>
      <w:r>
        <w:rPr>
          <w:position w:val="5"/>
          <w:sz w:val="14"/>
        </w:rPr>
        <w:t>2</w:t>
      </w:r>
      <w:r>
        <w:t xml:space="preserve">, </w:t>
      </w:r>
      <w:proofErr w:type="spellStart"/>
      <w:r>
        <w:t>Neri</w:t>
      </w:r>
      <w:proofErr w:type="spellEnd"/>
      <w:r>
        <w:t>-Castro, E.</w:t>
      </w:r>
      <w:r>
        <w:rPr>
          <w:position w:val="5"/>
          <w:sz w:val="14"/>
        </w:rPr>
        <w:t>3</w:t>
      </w:r>
      <w:r>
        <w:t xml:space="preserve">, </w:t>
      </w:r>
      <w:proofErr w:type="spellStart"/>
      <w:r>
        <w:t>Alagón</w:t>
      </w:r>
      <w:proofErr w:type="spellEnd"/>
      <w:r>
        <w:t>, A.</w:t>
      </w:r>
      <w:r>
        <w:rPr>
          <w:position w:val="5"/>
          <w:sz w:val="14"/>
        </w:rPr>
        <w:t>3</w:t>
      </w:r>
      <w:r>
        <w:t xml:space="preserve">, </w:t>
      </w:r>
      <w:proofErr w:type="spellStart"/>
      <w:r>
        <w:t>Calvete</w:t>
      </w:r>
      <w:proofErr w:type="spellEnd"/>
      <w:r>
        <w:t>, J.J.</w:t>
      </w:r>
      <w:r>
        <w:rPr>
          <w:position w:val="5"/>
          <w:sz w:val="14"/>
        </w:rPr>
        <w:t>1,*</w:t>
      </w:r>
    </w:p>
    <w:p w:rsidR="00384877" w:rsidRDefault="00384877" w:rsidP="00384877">
      <w:pPr>
        <w:pStyle w:val="BodyText"/>
        <w:spacing w:before="4" w:line="228" w:lineRule="auto"/>
        <w:ind w:right="169"/>
        <w:rPr>
          <w:position w:val="5"/>
          <w:sz w:val="14"/>
        </w:rPr>
      </w:pPr>
    </w:p>
    <w:p w:rsidR="00384877" w:rsidRDefault="00384877" w:rsidP="00384877">
      <w:pPr>
        <w:pStyle w:val="BodyText"/>
        <w:spacing w:before="4" w:line="228" w:lineRule="auto"/>
        <w:ind w:right="169"/>
      </w:pPr>
      <w:r>
        <w:rPr>
          <w:position w:val="5"/>
          <w:sz w:val="14"/>
        </w:rPr>
        <w:t xml:space="preserve">1 </w:t>
      </w:r>
      <w:proofErr w:type="spellStart"/>
      <w:r>
        <w:t>Laboratorio</w:t>
      </w:r>
      <w:proofErr w:type="spellEnd"/>
      <w:r>
        <w:t xml:space="preserve"> de </w:t>
      </w:r>
      <w:proofErr w:type="spellStart"/>
      <w:r>
        <w:t>Venómica</w:t>
      </w:r>
      <w:proofErr w:type="spellEnd"/>
      <w:r>
        <w:t xml:space="preserve"> </w:t>
      </w:r>
      <w:proofErr w:type="spellStart"/>
      <w:r>
        <w:t>Evolutiva</w:t>
      </w:r>
      <w:proofErr w:type="spellEnd"/>
      <w:r>
        <w:t xml:space="preserve"> y </w:t>
      </w:r>
      <w:proofErr w:type="spellStart"/>
      <w:r>
        <w:t>Traslacional</w:t>
      </w:r>
      <w:proofErr w:type="spellEnd"/>
      <w:r>
        <w:t xml:space="preserve">, </w:t>
      </w:r>
      <w:proofErr w:type="spellStart"/>
      <w:r>
        <w:t>Instituto</w:t>
      </w:r>
      <w:proofErr w:type="spellEnd"/>
      <w:r>
        <w:t xml:space="preserve"> de </w:t>
      </w:r>
      <w:proofErr w:type="spellStart"/>
      <w:r>
        <w:t>Biomedicina</w:t>
      </w:r>
      <w:proofErr w:type="spellEnd"/>
      <w:r>
        <w:t xml:space="preserve"> de Valencia, CSIC, Jaime </w:t>
      </w:r>
      <w:proofErr w:type="spellStart"/>
      <w:r>
        <w:t>Roig</w:t>
      </w:r>
      <w:proofErr w:type="spellEnd"/>
      <w:r>
        <w:t xml:space="preserve"> 11, 46010 Valencia, Spain; </w:t>
      </w:r>
      <w:r>
        <w:rPr>
          <w:position w:val="5"/>
          <w:sz w:val="14"/>
        </w:rPr>
        <w:t xml:space="preserve">2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Butantan</w:t>
      </w:r>
      <w:proofErr w:type="spellEnd"/>
      <w:r>
        <w:t xml:space="preserve">, São Paulo, Brazil; </w:t>
      </w:r>
      <w:r>
        <w:rPr>
          <w:position w:val="5"/>
          <w:sz w:val="14"/>
        </w:rPr>
        <w:t xml:space="preserve">3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Molecular y </w:t>
      </w:r>
      <w:proofErr w:type="spellStart"/>
      <w:r>
        <w:t>Bioprocesos</w:t>
      </w:r>
      <w:proofErr w:type="spellEnd"/>
      <w:r>
        <w:t xml:space="preserve">, </w:t>
      </w:r>
      <w:proofErr w:type="spellStart"/>
      <w:r>
        <w:t>Instituto</w:t>
      </w:r>
      <w:proofErr w:type="spellEnd"/>
      <w:r>
        <w:t xml:space="preserve"> de </w:t>
      </w:r>
      <w:proofErr w:type="spellStart"/>
      <w:r>
        <w:t>Biotecnología</w:t>
      </w:r>
      <w:proofErr w:type="spellEnd"/>
      <w:r>
        <w:t xml:space="preserve">, Universidad Nacional </w:t>
      </w:r>
      <w:proofErr w:type="spellStart"/>
      <w:r>
        <w:t>Autónoma</w:t>
      </w:r>
      <w:proofErr w:type="spellEnd"/>
      <w:r>
        <w:t xml:space="preserve"> de México, Cuernavaca, Morelos, México</w:t>
      </w:r>
    </w:p>
    <w:p w:rsidR="00384877" w:rsidRDefault="00384877" w:rsidP="00384877">
      <w:pPr>
        <w:spacing w:line="241" w:lineRule="exact"/>
        <w:ind w:left="100"/>
        <w:rPr>
          <w:i/>
        </w:rPr>
      </w:pPr>
    </w:p>
    <w:p w:rsidR="00384877" w:rsidRDefault="00384877" w:rsidP="00384877">
      <w:pPr>
        <w:spacing w:line="241" w:lineRule="exact"/>
        <w:ind w:left="100"/>
      </w:pPr>
      <w:r>
        <w:rPr>
          <w:i/>
        </w:rPr>
        <w:t>E-mail address</w:t>
      </w:r>
      <w:r>
        <w:t xml:space="preserve">: </w:t>
      </w:r>
      <w:hyperlink r:id="rId4">
        <w:r>
          <w:rPr>
            <w:color w:val="0000FF"/>
            <w:u w:val="single" w:color="0000FF"/>
          </w:rPr>
          <w:t>jcalvete@ibv.csic.es</w:t>
        </w:r>
      </w:hyperlink>
    </w:p>
    <w:p w:rsidR="00384877" w:rsidRDefault="00384877" w:rsidP="00384877">
      <w:pPr>
        <w:pStyle w:val="BodyText"/>
        <w:spacing w:before="7"/>
        <w:ind w:left="0"/>
        <w:rPr>
          <w:sz w:val="20"/>
        </w:rPr>
      </w:pPr>
    </w:p>
    <w:p w:rsidR="00384877" w:rsidRDefault="00384877" w:rsidP="00384877">
      <w:pPr>
        <w:pStyle w:val="BodyText"/>
        <w:spacing w:line="228" w:lineRule="auto"/>
        <w:ind w:right="223"/>
        <w:jc w:val="both"/>
      </w:pPr>
      <w:r>
        <w:rPr>
          <w:b/>
        </w:rPr>
        <w:t xml:space="preserve">Background: </w:t>
      </w:r>
      <w:r>
        <w:rPr>
          <w:color w:val="333333"/>
        </w:rPr>
        <w:t xml:space="preserve">The most recent common ancestor for the rattlesnakes has been estimated at 12.7 Mya (mid-Miocene) with a center of origin in the north-central Mexican Plateau. Biogeographical data suggest dispersals northward into North America (late Miocene, 6–8 Mya), southward into Central America dating back to the late Miocene/early Pliocene (6.4−6.7 Mya), and a relatively recent (1.8−1.1 Mya) South American dispersal during the middle Pleistocene (1.1−1.0 Mya). </w:t>
      </w:r>
      <w:proofErr w:type="spellStart"/>
      <w:r>
        <w:rPr>
          <w:i/>
          <w:color w:val="333333"/>
        </w:rPr>
        <w:t>Crotalus</w:t>
      </w:r>
      <w:proofErr w:type="spellEnd"/>
      <w:r>
        <w:rPr>
          <w:i/>
          <w:color w:val="333333"/>
        </w:rPr>
        <w:t xml:space="preserve"> </w:t>
      </w:r>
      <w:r>
        <w:rPr>
          <w:color w:val="333333"/>
        </w:rPr>
        <w:t>venoms are classified, according to their predominant expression of hemorrhagic PIII-SVMPs</w:t>
      </w:r>
      <w:r>
        <w:t xml:space="preserve"> </w:t>
      </w:r>
      <w:r>
        <w:rPr>
          <w:color w:val="333333"/>
          <w:position w:val="2"/>
        </w:rPr>
        <w:t>or heterodimeric neurotoxic PLA</w:t>
      </w:r>
      <w:r>
        <w:rPr>
          <w:color w:val="333333"/>
          <w:position w:val="2"/>
          <w:vertAlign w:val="subscript"/>
        </w:rPr>
        <w:t>2</w:t>
      </w:r>
      <w:r>
        <w:rPr>
          <w:color w:val="333333"/>
          <w:position w:val="2"/>
        </w:rPr>
        <w:t>, as type I or type II. This venom dichotomy is a shared</w:t>
      </w:r>
      <w:r>
        <w:t xml:space="preserve"> </w:t>
      </w:r>
      <w:r>
        <w:rPr>
          <w:color w:val="333333"/>
        </w:rPr>
        <w:t xml:space="preserve">trend throughout the Americas. However, the evolutionary routes followed by North, Central, and South American venoms are punctuated by their own characteristics. In North America, type-I and type II venoms are </w:t>
      </w:r>
      <w:proofErr w:type="spellStart"/>
      <w:r>
        <w:rPr>
          <w:color w:val="333333"/>
        </w:rPr>
        <w:t>scatterly</w:t>
      </w:r>
      <w:proofErr w:type="spellEnd"/>
      <w:r>
        <w:rPr>
          <w:color w:val="333333"/>
        </w:rPr>
        <w:t xml:space="preserve"> distributed across phylogeny. </w:t>
      </w:r>
      <w:r>
        <w:t xml:space="preserve">Type-I and type-II venom phenotypes in North American rattlesnakes </w:t>
      </w:r>
      <w:r>
        <w:rPr>
          <w:color w:val="333333"/>
        </w:rPr>
        <w:t xml:space="preserve">appear to be due with </w:t>
      </w:r>
      <w:r>
        <w:t xml:space="preserve">recent lineage-independent losses of the </w:t>
      </w:r>
      <w:r>
        <w:rPr>
          <w:color w:val="333333"/>
        </w:rPr>
        <w:t xml:space="preserve">genes </w:t>
      </w:r>
      <w:r>
        <w:rPr>
          <w:color w:val="333333"/>
          <w:position w:val="2"/>
        </w:rPr>
        <w:t xml:space="preserve">coding for the </w:t>
      </w:r>
      <w:proofErr w:type="spellStart"/>
      <w:r>
        <w:rPr>
          <w:color w:val="333333"/>
          <w:position w:val="2"/>
        </w:rPr>
        <w:t>the</w:t>
      </w:r>
      <w:proofErr w:type="spellEnd"/>
      <w:r>
        <w:rPr>
          <w:color w:val="333333"/>
          <w:position w:val="2"/>
        </w:rPr>
        <w:t xml:space="preserve"> neurotoxic PLA</w:t>
      </w:r>
      <w:r>
        <w:rPr>
          <w:color w:val="333333"/>
          <w:position w:val="2"/>
          <w:vertAlign w:val="subscript"/>
        </w:rPr>
        <w:t>2</w:t>
      </w:r>
      <w:r>
        <w:rPr>
          <w:color w:val="333333"/>
          <w:position w:val="2"/>
        </w:rPr>
        <w:t xml:space="preserve"> complex subunits. In Arizona, </w:t>
      </w:r>
      <w:r>
        <w:rPr>
          <w:i/>
          <w:color w:val="333333"/>
          <w:position w:val="2"/>
        </w:rPr>
        <w:t xml:space="preserve">C. s. </w:t>
      </w:r>
      <w:proofErr w:type="spellStart"/>
      <w:r>
        <w:rPr>
          <w:i/>
          <w:color w:val="333333"/>
          <w:position w:val="2"/>
        </w:rPr>
        <w:t>scutulatus</w:t>
      </w:r>
      <w:proofErr w:type="spellEnd"/>
      <w:r>
        <w:rPr>
          <w:i/>
          <w:color w:val="333333"/>
          <w:position w:val="2"/>
        </w:rPr>
        <w:t xml:space="preserve"> </w:t>
      </w:r>
      <w:r>
        <w:rPr>
          <w:color w:val="333333"/>
          <w:position w:val="2"/>
        </w:rPr>
        <w:t xml:space="preserve">type-I/type-II </w:t>
      </w:r>
      <w:r>
        <w:rPr>
          <w:color w:val="333333"/>
        </w:rPr>
        <w:t xml:space="preserve">venom dichotomy correlates with the transition from a </w:t>
      </w:r>
      <w:proofErr w:type="spellStart"/>
      <w:r>
        <w:rPr>
          <w:color w:val="333333"/>
        </w:rPr>
        <w:t>haemorrhagic</w:t>
      </w:r>
      <w:proofErr w:type="spellEnd"/>
      <w:r>
        <w:rPr>
          <w:color w:val="333333"/>
        </w:rPr>
        <w:t xml:space="preserve"> to a neurotoxic phenotype along a South Central to South Eastern axis. The predominance </w:t>
      </w:r>
      <w:r>
        <w:t xml:space="preserve">in adult South American rattlesnakes </w:t>
      </w:r>
      <w:r>
        <w:rPr>
          <w:color w:val="333333"/>
        </w:rPr>
        <w:t>(</w:t>
      </w:r>
      <w:proofErr w:type="spellStart"/>
      <w:r>
        <w:rPr>
          <w:i/>
          <w:color w:val="333333"/>
        </w:rPr>
        <w:t>Crotalus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durissus</w:t>
      </w:r>
      <w:proofErr w:type="spellEnd"/>
      <w:r>
        <w:rPr>
          <w:i/>
          <w:color w:val="333333"/>
        </w:rPr>
        <w:t xml:space="preserve"> </w:t>
      </w:r>
      <w:r>
        <w:rPr>
          <w:color w:val="333333"/>
        </w:rPr>
        <w:t>sp.) of t</w:t>
      </w:r>
      <w:r>
        <w:t xml:space="preserve">ype II venoms exhibiting increasing </w:t>
      </w:r>
      <w:r>
        <w:rPr>
          <w:color w:val="333333"/>
        </w:rPr>
        <w:t xml:space="preserve">incapacitation and lethal activities to rodents represents an adaptive </w:t>
      </w:r>
      <w:proofErr w:type="spellStart"/>
      <w:r>
        <w:rPr>
          <w:color w:val="333333"/>
        </w:rPr>
        <w:t>paedomorphic</w:t>
      </w:r>
      <w:proofErr w:type="spellEnd"/>
      <w:r>
        <w:rPr>
          <w:color w:val="333333"/>
        </w:rPr>
        <w:t xml:space="preserve"> trait driven by the gain of neurotoxicity along the South America's North-South axis. On the other hand, in the Central American rattlesnake, </w:t>
      </w:r>
      <w:r>
        <w:rPr>
          <w:i/>
        </w:rPr>
        <w:t xml:space="preserve">C. s. </w:t>
      </w:r>
      <w:proofErr w:type="spellStart"/>
      <w:r>
        <w:rPr>
          <w:i/>
        </w:rPr>
        <w:t>simus</w:t>
      </w:r>
      <w:proofErr w:type="spellEnd"/>
      <w:r>
        <w:t xml:space="preserve">, the two venom phenotypes are linked by </w:t>
      </w:r>
      <w:r>
        <w:rPr>
          <w:color w:val="333333"/>
        </w:rPr>
        <w:t xml:space="preserve">an ontogenetic </w:t>
      </w:r>
      <w:r>
        <w:t>transition from</w:t>
      </w:r>
      <w:r>
        <w:rPr>
          <w:spacing w:val="-20"/>
        </w:rPr>
        <w:t xml:space="preserve"> </w:t>
      </w:r>
      <w:r>
        <w:t xml:space="preserve">type II to type I venom, and this compositional shift appears to be post-transcriptionally modulated by </w:t>
      </w:r>
      <w:r>
        <w:rPr>
          <w:color w:val="333333"/>
        </w:rPr>
        <w:t xml:space="preserve">age- dependent changes in the concentration of </w:t>
      </w:r>
      <w:r>
        <w:t>miRNAs.</w:t>
      </w:r>
    </w:p>
    <w:p w:rsidR="00384877" w:rsidRDefault="00384877" w:rsidP="00384877">
      <w:pPr>
        <w:pStyle w:val="BodyText"/>
        <w:spacing w:line="228" w:lineRule="auto"/>
        <w:ind w:right="223"/>
        <w:jc w:val="both"/>
      </w:pPr>
    </w:p>
    <w:p w:rsidR="00384877" w:rsidRDefault="00384877" w:rsidP="00384877">
      <w:pPr>
        <w:pStyle w:val="BodyText"/>
        <w:spacing w:line="228" w:lineRule="auto"/>
        <w:ind w:right="340"/>
        <w:jc w:val="both"/>
        <w:rPr>
          <w:color w:val="333333"/>
        </w:rPr>
      </w:pPr>
      <w:r>
        <w:rPr>
          <w:b/>
        </w:rPr>
        <w:t xml:space="preserve">Methods: </w:t>
      </w:r>
      <w:r>
        <w:t>M</w:t>
      </w:r>
      <w:r>
        <w:rPr>
          <w:color w:val="333333"/>
        </w:rPr>
        <w:t>ulti-</w:t>
      </w:r>
      <w:proofErr w:type="spellStart"/>
      <w:r>
        <w:rPr>
          <w:color w:val="333333"/>
        </w:rPr>
        <w:t>omic</w:t>
      </w:r>
      <w:proofErr w:type="spellEnd"/>
      <w:r>
        <w:rPr>
          <w:color w:val="333333"/>
        </w:rPr>
        <w:t xml:space="preserve"> analyses of the transcriptional and translational venom gland activities also support a role for miRNAs in the ontogenetic venom compositional changes in congeneric Mexican rattlesnakes, </w:t>
      </w:r>
      <w:r>
        <w:rPr>
          <w:i/>
          <w:color w:val="333333"/>
        </w:rPr>
        <w:t xml:space="preserve">C. </w:t>
      </w:r>
      <w:proofErr w:type="spellStart"/>
      <w:r>
        <w:rPr>
          <w:i/>
          <w:color w:val="333333"/>
        </w:rPr>
        <w:t>simus</w:t>
      </w:r>
      <w:proofErr w:type="spellEnd"/>
      <w:r>
        <w:rPr>
          <w:i/>
          <w:color w:val="333333"/>
        </w:rPr>
        <w:t xml:space="preserve"> </w:t>
      </w:r>
      <w:r>
        <w:rPr>
          <w:color w:val="333333"/>
        </w:rPr>
        <w:t xml:space="preserve">and </w:t>
      </w:r>
      <w:r>
        <w:rPr>
          <w:i/>
          <w:color w:val="333333"/>
        </w:rPr>
        <w:t xml:space="preserve">C. </w:t>
      </w:r>
      <w:proofErr w:type="spellStart"/>
      <w:r>
        <w:rPr>
          <w:i/>
          <w:color w:val="333333"/>
        </w:rPr>
        <w:t>tzbacan</w:t>
      </w:r>
      <w:proofErr w:type="spellEnd"/>
      <w:r>
        <w:rPr>
          <w:color w:val="333333"/>
        </w:rPr>
        <w:t xml:space="preserve">. The finding of dual-action miRNAs, which silence the translation of neurotoxic heterodimeric PLA2 </w:t>
      </w:r>
      <w:proofErr w:type="spellStart"/>
      <w:r>
        <w:rPr>
          <w:color w:val="333333"/>
        </w:rPr>
        <w:t>crotoxin</w:t>
      </w:r>
      <w:proofErr w:type="spellEnd"/>
      <w:r>
        <w:rPr>
          <w:color w:val="333333"/>
        </w:rPr>
        <w:t xml:space="preserve"> while simultaneously up-regulating</w:t>
      </w:r>
      <w:r>
        <w:t xml:space="preserve"> </w:t>
      </w:r>
      <w:r>
        <w:rPr>
          <w:color w:val="333333"/>
        </w:rPr>
        <w:t>SVMP mRNAs, potentially explains the existence of the mutually exclusive type-II and type-I venom dichotomy among rattlesnakes.</w:t>
      </w:r>
    </w:p>
    <w:p w:rsidR="00384877" w:rsidRDefault="00384877" w:rsidP="00384877">
      <w:pPr>
        <w:pStyle w:val="BodyText"/>
        <w:spacing w:line="228" w:lineRule="auto"/>
        <w:ind w:right="340"/>
        <w:jc w:val="both"/>
      </w:pPr>
    </w:p>
    <w:p w:rsidR="00384877" w:rsidRDefault="00384877" w:rsidP="00175A50">
      <w:pPr>
        <w:pStyle w:val="BodyText"/>
        <w:tabs>
          <w:tab w:val="left" w:pos="9090"/>
        </w:tabs>
        <w:spacing w:line="228" w:lineRule="auto"/>
        <w:ind w:right="180"/>
        <w:jc w:val="both"/>
        <w:rPr>
          <w:color w:val="333333"/>
        </w:rPr>
      </w:pPr>
      <w:r>
        <w:rPr>
          <w:b/>
        </w:rPr>
        <w:t xml:space="preserve">Discussion/Conclusion: </w:t>
      </w:r>
      <w:r>
        <w:rPr>
          <w:color w:val="333333"/>
        </w:rPr>
        <w:t>The hypothesis that alterations of the distribution of miRNAs in response to an external cue may contribute to the mechanism generating adaptive venom variability deserves further detailed studies.</w:t>
      </w:r>
    </w:p>
    <w:p w:rsidR="00384877" w:rsidRDefault="00384877" w:rsidP="00384877">
      <w:pPr>
        <w:pStyle w:val="BodyText"/>
        <w:spacing w:line="228" w:lineRule="auto"/>
        <w:ind w:right="169"/>
        <w:jc w:val="both"/>
      </w:pPr>
    </w:p>
    <w:p w:rsidR="00084567" w:rsidRDefault="00384877" w:rsidP="00384877">
      <w:r>
        <w:rPr>
          <w:b/>
        </w:rPr>
        <w:t xml:space="preserve">  Key Words</w:t>
      </w:r>
      <w:r>
        <w:t xml:space="preserve">: </w:t>
      </w:r>
      <w:proofErr w:type="spellStart"/>
      <w:r>
        <w:rPr>
          <w:i/>
        </w:rPr>
        <w:t>Crotalus</w:t>
      </w:r>
      <w:proofErr w:type="spellEnd"/>
      <w:r>
        <w:rPr>
          <w:i/>
        </w:rPr>
        <w:t xml:space="preserve"> </w:t>
      </w:r>
      <w:r>
        <w:t>venom, venom phenotype dichotomy, venom ontogeny, miRNAs</w:t>
      </w:r>
    </w:p>
    <w:sectPr w:rsidR="00084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77"/>
    <w:rsid w:val="00084567"/>
    <w:rsid w:val="00175A50"/>
    <w:rsid w:val="00384877"/>
    <w:rsid w:val="006218A1"/>
    <w:rsid w:val="0098414A"/>
    <w:rsid w:val="00C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E245"/>
  <w15:chartTrackingRefBased/>
  <w15:docId w15:val="{1F5CB8B4-29B2-4C1C-8DAD-0D38848C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48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84877"/>
    <w:pPr>
      <w:spacing w:before="85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487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384877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38487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alvete@ibv.csic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Dinkel,Erin E</dc:creator>
  <cp:keywords/>
  <dc:description/>
  <cp:lastModifiedBy>Dinkel,Erin E</cp:lastModifiedBy>
  <cp:revision>2</cp:revision>
  <dcterms:created xsi:type="dcterms:W3CDTF">2019-09-12T15:22:00Z</dcterms:created>
  <dcterms:modified xsi:type="dcterms:W3CDTF">2019-09-12T15:22:00Z</dcterms:modified>
</cp:coreProperties>
</file>